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78B6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20DFB" w14:textId="77777777" w:rsidR="004C68CC" w:rsidRPr="004C68CC" w:rsidRDefault="004C68CC" w:rsidP="004C68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>SYLABUS</w:t>
      </w:r>
    </w:p>
    <w:p w14:paraId="408F4F7E" w14:textId="4F762808" w:rsidR="004C68CC" w:rsidRPr="004C68CC" w:rsidRDefault="004C68CC" w:rsidP="004C68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C68C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C68CC">
        <w:rPr>
          <w:rFonts w:ascii="Corbel" w:hAnsi="Corbel"/>
          <w:smallCaps/>
          <w:sz w:val="24"/>
          <w:szCs w:val="24"/>
        </w:rPr>
        <w:t>202</w:t>
      </w:r>
      <w:r w:rsidR="00F02033">
        <w:rPr>
          <w:rFonts w:ascii="Corbel" w:hAnsi="Corbel"/>
          <w:smallCaps/>
          <w:sz w:val="24"/>
          <w:szCs w:val="24"/>
        </w:rPr>
        <w:t>1</w:t>
      </w:r>
      <w:r w:rsidRPr="004C68CC">
        <w:rPr>
          <w:rFonts w:ascii="Corbel" w:hAnsi="Corbel"/>
          <w:smallCaps/>
          <w:sz w:val="24"/>
          <w:szCs w:val="24"/>
        </w:rPr>
        <w:t>-202</w:t>
      </w:r>
      <w:r w:rsidR="00F02033">
        <w:rPr>
          <w:rFonts w:ascii="Corbel" w:hAnsi="Corbel"/>
          <w:smallCaps/>
          <w:sz w:val="24"/>
          <w:szCs w:val="24"/>
        </w:rPr>
        <w:t>3</w:t>
      </w:r>
    </w:p>
    <w:p w14:paraId="54E97189" w14:textId="0C4FD046" w:rsidR="004C68CC" w:rsidRPr="00EA4832" w:rsidRDefault="004C68CC" w:rsidP="004C68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C68CC">
        <w:rPr>
          <w:rFonts w:ascii="Corbel" w:hAnsi="Corbel"/>
          <w:sz w:val="20"/>
          <w:szCs w:val="20"/>
        </w:rPr>
        <w:t>Rok akademicki: 202</w:t>
      </w:r>
      <w:r w:rsidR="00F02033">
        <w:rPr>
          <w:rFonts w:ascii="Corbel" w:hAnsi="Corbel"/>
          <w:sz w:val="20"/>
          <w:szCs w:val="20"/>
        </w:rPr>
        <w:t>2</w:t>
      </w:r>
      <w:r w:rsidRPr="004C68CC">
        <w:rPr>
          <w:rFonts w:ascii="Corbel" w:hAnsi="Corbel"/>
          <w:sz w:val="20"/>
          <w:szCs w:val="20"/>
        </w:rPr>
        <w:t>/202</w:t>
      </w:r>
      <w:r w:rsidR="00F0203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48E1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599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B61" w:rsidRPr="009C54AE" w14:paraId="20544707" w14:textId="77777777" w:rsidTr="00B819C8">
        <w:tc>
          <w:tcPr>
            <w:tcW w:w="2694" w:type="dxa"/>
            <w:vAlign w:val="center"/>
          </w:tcPr>
          <w:p w14:paraId="7E007B2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80694B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Planowanie rozwoju regionalnego</w:t>
            </w:r>
          </w:p>
        </w:tc>
      </w:tr>
      <w:tr w:rsidR="002B2B61" w:rsidRPr="009C54AE" w14:paraId="24B1BF87" w14:textId="77777777" w:rsidTr="00B819C8">
        <w:tc>
          <w:tcPr>
            <w:tcW w:w="2694" w:type="dxa"/>
            <w:vAlign w:val="center"/>
          </w:tcPr>
          <w:p w14:paraId="5C3596DB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C0F" w14:textId="77777777" w:rsidR="002B2B61" w:rsidRPr="00FC6D8A" w:rsidRDefault="002B2B61" w:rsidP="00C052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D8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C6D8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FC6D8A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2B2B61" w:rsidRPr="009C54AE" w14:paraId="7E889FD9" w14:textId="77777777" w:rsidTr="00B819C8">
        <w:tc>
          <w:tcPr>
            <w:tcW w:w="2694" w:type="dxa"/>
            <w:vAlign w:val="center"/>
          </w:tcPr>
          <w:p w14:paraId="520D5ABC" w14:textId="77777777" w:rsidR="002B2B61" w:rsidRPr="009C54AE" w:rsidRDefault="002B2B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5EBD14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B2B61" w:rsidRPr="009C54AE" w14:paraId="12191E80" w14:textId="77777777" w:rsidTr="00B819C8">
        <w:tc>
          <w:tcPr>
            <w:tcW w:w="2694" w:type="dxa"/>
            <w:vAlign w:val="center"/>
          </w:tcPr>
          <w:p w14:paraId="5A694423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67D9BF" w14:textId="4453A31C" w:rsidR="002B2B61" w:rsidRPr="009C54AE" w:rsidRDefault="004C6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68C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B2B61" w:rsidRPr="009C54AE" w14:paraId="72B38191" w14:textId="77777777" w:rsidTr="00B819C8">
        <w:tc>
          <w:tcPr>
            <w:tcW w:w="2694" w:type="dxa"/>
            <w:vAlign w:val="center"/>
          </w:tcPr>
          <w:p w14:paraId="68B3CB1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844E0F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B2B61" w:rsidRPr="009C54AE" w14:paraId="19606957" w14:textId="77777777" w:rsidTr="00B819C8">
        <w:tc>
          <w:tcPr>
            <w:tcW w:w="2694" w:type="dxa"/>
            <w:vAlign w:val="center"/>
          </w:tcPr>
          <w:p w14:paraId="6B7E9BF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337D72" w14:textId="095E05E0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68C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B2B61" w:rsidRPr="009C54AE" w14:paraId="41D294FE" w14:textId="77777777" w:rsidTr="00B819C8">
        <w:tc>
          <w:tcPr>
            <w:tcW w:w="2694" w:type="dxa"/>
            <w:vAlign w:val="center"/>
          </w:tcPr>
          <w:p w14:paraId="22B5E9E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DA03D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B2B61" w:rsidRPr="009C54AE" w14:paraId="7A96DCB6" w14:textId="77777777" w:rsidTr="00B819C8">
        <w:tc>
          <w:tcPr>
            <w:tcW w:w="2694" w:type="dxa"/>
            <w:vAlign w:val="center"/>
          </w:tcPr>
          <w:p w14:paraId="46AAA319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3FD338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B2B61" w:rsidRPr="009C54AE" w14:paraId="433CE67A" w14:textId="77777777" w:rsidTr="00B819C8">
        <w:tc>
          <w:tcPr>
            <w:tcW w:w="2694" w:type="dxa"/>
            <w:vAlign w:val="center"/>
          </w:tcPr>
          <w:p w14:paraId="089E3C5D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7E7435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B2B61" w:rsidRPr="009C54AE" w14:paraId="76A89FBF" w14:textId="77777777" w:rsidTr="00B819C8">
        <w:tc>
          <w:tcPr>
            <w:tcW w:w="2694" w:type="dxa"/>
            <w:vAlign w:val="center"/>
          </w:tcPr>
          <w:p w14:paraId="1262AC44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776D4A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B2B61" w:rsidRPr="009C54AE" w14:paraId="3A78D997" w14:textId="77777777" w:rsidTr="00B819C8">
        <w:tc>
          <w:tcPr>
            <w:tcW w:w="2694" w:type="dxa"/>
            <w:vAlign w:val="center"/>
          </w:tcPr>
          <w:p w14:paraId="3E0569EF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DBFED" w14:textId="77777777" w:rsidR="002B2B61" w:rsidRPr="009C54AE" w:rsidRDefault="002B2B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B2B61" w:rsidRPr="009C54AE" w14:paraId="542792FF" w14:textId="77777777" w:rsidTr="00B819C8">
        <w:tc>
          <w:tcPr>
            <w:tcW w:w="2694" w:type="dxa"/>
            <w:vAlign w:val="center"/>
          </w:tcPr>
          <w:p w14:paraId="49403E50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34F57" w14:textId="77777777" w:rsidR="002B2B61" w:rsidRPr="009C54AE" w:rsidRDefault="002B2B61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B2B61" w:rsidRPr="009C54AE" w14:paraId="28BBD280" w14:textId="77777777" w:rsidTr="00B819C8">
        <w:tc>
          <w:tcPr>
            <w:tcW w:w="2694" w:type="dxa"/>
            <w:vAlign w:val="center"/>
          </w:tcPr>
          <w:p w14:paraId="0D3F2B0A" w14:textId="77777777" w:rsidR="002B2B61" w:rsidRPr="009C54AE" w:rsidRDefault="002B2B6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62CF69" w14:textId="77777777" w:rsidR="002B2B61" w:rsidRPr="009C54AE" w:rsidRDefault="002B2B61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8874CC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6CD24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CBA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586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47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B37C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B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5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F0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C3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65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84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6D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F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D519E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377C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7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B5B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B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9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92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42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B7BA" w14:textId="77777777" w:rsidR="00015B8F" w:rsidRPr="009C54AE" w:rsidRDefault="002B2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4CB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4D61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B71C9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67E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67E6E">
        <w:rPr>
          <w:rFonts w:ascii="Corbel" w:hAnsi="Corbel"/>
          <w:b w:val="0"/>
          <w:smallCaps w:val="0"/>
          <w:szCs w:val="24"/>
        </w:rPr>
        <w:t>zajęcia w formie trady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cyjnej lub z wykorzystaniem platformy Ms </w:t>
      </w:r>
      <w:proofErr w:type="spellStart"/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219124C" w14:textId="77777777" w:rsidR="00567E6E" w:rsidRPr="00567E6E" w:rsidRDefault="00567E6E" w:rsidP="00567E6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567E6E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567E6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715BF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A983A7" w14:textId="731F927C" w:rsidR="00E960BB" w:rsidRDefault="00E22FBC" w:rsidP="004C68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D439609" w14:textId="06DFC521" w:rsidR="004C68CC" w:rsidRPr="004C68CC" w:rsidRDefault="00567E6E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4C68CC" w:rsidRPr="004C68CC">
        <w:rPr>
          <w:rFonts w:ascii="Corbel" w:hAnsi="Corbel"/>
          <w:b w:val="0"/>
          <w:smallCaps w:val="0"/>
          <w:szCs w:val="24"/>
        </w:rPr>
        <w:t>Zaliczenie z oceną</w:t>
      </w:r>
    </w:p>
    <w:p w14:paraId="4AC802BA" w14:textId="77777777" w:rsidR="004C68CC" w:rsidRPr="004C68CC" w:rsidRDefault="004C68CC" w:rsidP="004C68CC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152C60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599D30" w14:textId="77777777" w:rsidTr="00745302">
        <w:tc>
          <w:tcPr>
            <w:tcW w:w="9670" w:type="dxa"/>
          </w:tcPr>
          <w:p w14:paraId="6287AF36" w14:textId="77777777" w:rsidR="0085747A" w:rsidRPr="002B2B61" w:rsidRDefault="002B2B61" w:rsidP="004C68CC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B2B61">
              <w:rPr>
                <w:rFonts w:ascii="Corbel" w:hAnsi="Corbel"/>
                <w:sz w:val="24"/>
                <w:szCs w:val="24"/>
              </w:rPr>
              <w:t xml:space="preserve">Ogólna wiedza dotycząca zagadnień ekonomicznych realizowanych w grupie przedmiotów podstawowych ze szczególnym uwzględnieniem zagadnień w ujęciu przestrzennym realizowanych w ramach przedmiotów Teoria gospodarki przestrzennej, Metody i techniki analizy regionalnej, </w:t>
            </w:r>
            <w:r w:rsidRPr="002B2B61">
              <w:rPr>
                <w:rFonts w:ascii="Corbel" w:hAnsi="Corbel"/>
                <w:sz w:val="24"/>
                <w:szCs w:val="24"/>
                <w:lang w:eastAsia="pl-PL"/>
              </w:rPr>
              <w:t>Gospodarka regionalna i lokalna</w:t>
            </w:r>
            <w:r w:rsidR="0098200B" w:rsidRPr="002B2B6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AEFE3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F76D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369CC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A24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9C07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1787034B" w14:textId="77777777" w:rsidTr="004F0E29">
        <w:tc>
          <w:tcPr>
            <w:tcW w:w="851" w:type="dxa"/>
            <w:vAlign w:val="center"/>
          </w:tcPr>
          <w:p w14:paraId="1FB8BAA5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DD0EA2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Celem przedmiotu jest rozwinięcie wiedzy z zakresu planowania rozwoju społeczno-gospodarczego, a zwłaszcza planowania strategicznego, stanowiącego podstawowe ogniwo w zarządzaniu rozwojem jednostek terytorialnych na poziomie regionalnym i lokalnym, przybliżenie zasad i metod opracowywania strategii oraz zasad pracy z dużymi zespołami ludzkimi z wykorzystaniem metody moderacji wizualnej, jak również przybliżenie korzyści wynikających z wykorzystania metody uspołecznionej w pracach nad strategią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77EFA9F5" w14:textId="77777777" w:rsidTr="009254B5">
        <w:tc>
          <w:tcPr>
            <w:tcW w:w="851" w:type="dxa"/>
            <w:vAlign w:val="center"/>
          </w:tcPr>
          <w:p w14:paraId="31960EB1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BE69DA" w14:textId="77777777" w:rsidR="004F0E29" w:rsidRPr="002B2B61" w:rsidRDefault="002B2B61" w:rsidP="004C68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2B61">
              <w:rPr>
                <w:rFonts w:ascii="Corbel" w:hAnsi="Corbel"/>
                <w:b w:val="0"/>
                <w:sz w:val="24"/>
                <w:szCs w:val="24"/>
              </w:rPr>
              <w:t>Zapoznanie z procedurami budowania strategii, umiejętność opracowywania diagnozy sytuacji społeczno-gospodarczej(gminy regionu), umiejętność identyfikowania problemów i czynników rozwoju, określania wizji, misji, celów strategicznych i strategii działania - stanowiących podstawowe składniki dokumentu strategii rozwoju, znajomość zasad i umiejętność pracy z dużymi zespołami ludzkimi</w:t>
            </w:r>
            <w:r w:rsidR="004F0E29" w:rsidRPr="002B2B6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0580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FA49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D425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731C6F8" w14:textId="77777777" w:rsidTr="0071620A">
        <w:tc>
          <w:tcPr>
            <w:tcW w:w="1701" w:type="dxa"/>
            <w:vAlign w:val="center"/>
          </w:tcPr>
          <w:p w14:paraId="7DAD5190" w14:textId="77777777" w:rsidR="0085747A" w:rsidRPr="002F30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30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D1F08B4" w14:textId="77777777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9DEA49" w14:textId="47B013E4" w:rsidR="0085747A" w:rsidRPr="002F30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F30F0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F30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2B61" w:rsidRPr="009C54AE" w14:paraId="7E4EF069" w14:textId="77777777" w:rsidTr="002B2B61">
        <w:trPr>
          <w:trHeight w:val="541"/>
        </w:trPr>
        <w:tc>
          <w:tcPr>
            <w:tcW w:w="1701" w:type="dxa"/>
          </w:tcPr>
          <w:p w14:paraId="1BAAC068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F30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A424FC" w14:textId="54B7D0D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Ma pogłębioną wiedzę w zakresie procedur budowania strategii i planowania rozwoju społeczno-gospodarczego a zwłaszcza planowania strategicznego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578973F" w14:textId="261BF399" w:rsidR="002B2B61" w:rsidRPr="002F30F0" w:rsidRDefault="002B2B61" w:rsidP="00C052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F30F0" w:rsidRPr="002F30F0">
              <w:rPr>
                <w:rFonts w:ascii="Corbel" w:hAnsi="Corbel"/>
                <w:sz w:val="24"/>
                <w:szCs w:val="24"/>
              </w:rPr>
              <w:t>K_</w:t>
            </w:r>
            <w:r w:rsidRPr="002F30F0">
              <w:rPr>
                <w:rFonts w:ascii="Corbel" w:hAnsi="Corbel"/>
                <w:sz w:val="24"/>
                <w:szCs w:val="24"/>
              </w:rPr>
              <w:t>W02</w:t>
            </w:r>
          </w:p>
        </w:tc>
      </w:tr>
      <w:tr w:rsidR="002B2B61" w:rsidRPr="009C54AE" w14:paraId="577DFE92" w14:textId="77777777" w:rsidTr="00C753C8">
        <w:trPr>
          <w:trHeight w:val="686"/>
        </w:trPr>
        <w:tc>
          <w:tcPr>
            <w:tcW w:w="1701" w:type="dxa"/>
          </w:tcPr>
          <w:p w14:paraId="3569EE4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E630D2" w14:textId="50648E35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Charakteryzuje zasady planowania na szczeblu lokalnym, regionalnym i krajowym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8EBAFC6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K_W04</w:t>
            </w:r>
          </w:p>
          <w:p w14:paraId="54C2FD58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B2B61" w:rsidRPr="009C54AE" w14:paraId="59AECAF4" w14:textId="77777777" w:rsidTr="002B2B61">
        <w:tc>
          <w:tcPr>
            <w:tcW w:w="1701" w:type="dxa"/>
          </w:tcPr>
          <w:p w14:paraId="179C0C92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9AF53C" w14:textId="77777777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Opracowuje i analizuje dane dotyczące procesów rozwoju społeczno-gospodarczego, planowania regionalnego; formułuje własne opinie.</w:t>
            </w:r>
          </w:p>
        </w:tc>
        <w:tc>
          <w:tcPr>
            <w:tcW w:w="1873" w:type="dxa"/>
            <w:vAlign w:val="bottom"/>
          </w:tcPr>
          <w:p w14:paraId="4BBEE17A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K_U01</w:t>
            </w:r>
          </w:p>
          <w:p w14:paraId="74DCE7A0" w14:textId="77777777" w:rsidR="002B2B61" w:rsidRPr="002F30F0" w:rsidRDefault="002B2B61" w:rsidP="00C753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2B2B61" w:rsidRPr="009C54AE" w14:paraId="510682AB" w14:textId="77777777" w:rsidTr="002B2B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6CA" w14:textId="77777777" w:rsidR="002B2B61" w:rsidRPr="002F30F0" w:rsidRDefault="002B2B61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30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62E" w14:textId="3CB05BA0" w:rsidR="002B2B61" w:rsidRPr="002F30F0" w:rsidRDefault="002B2B61" w:rsidP="004C68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30F0">
              <w:rPr>
                <w:rFonts w:ascii="Corbel" w:hAnsi="Corbel"/>
                <w:sz w:val="24"/>
                <w:szCs w:val="24"/>
              </w:rPr>
              <w:t>Kieruje pracą zespołu i wykazuje twórczą postawę w opracowaniu elementów strategii rozwoju</w:t>
            </w:r>
            <w:r w:rsidR="00C753C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578C3" w14:textId="607E9DE5" w:rsidR="002B2B61" w:rsidRPr="002F30F0" w:rsidRDefault="00B717F3" w:rsidP="00C0524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2B2B61" w:rsidRPr="002F30F0">
              <w:rPr>
                <w:rFonts w:ascii="Corbel" w:hAnsi="Corbel"/>
                <w:sz w:val="24"/>
                <w:szCs w:val="24"/>
              </w:rPr>
              <w:t>U12</w:t>
            </w:r>
          </w:p>
        </w:tc>
      </w:tr>
    </w:tbl>
    <w:p w14:paraId="01CFAB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423E1" w14:textId="48F7F45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B6641CA" w14:textId="77777777" w:rsidR="002F30F0" w:rsidRPr="009C54AE" w:rsidRDefault="002F30F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6385D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11DC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4014B4" w14:textId="77777777" w:rsidTr="00261537">
        <w:tc>
          <w:tcPr>
            <w:tcW w:w="9520" w:type="dxa"/>
          </w:tcPr>
          <w:p w14:paraId="254E7736" w14:textId="77777777" w:rsidR="0085747A" w:rsidRPr="009C54AE" w:rsidRDefault="0085747A" w:rsidP="002F30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2B61" w:rsidRPr="009C54AE" w14:paraId="0FDCF296" w14:textId="77777777" w:rsidTr="00A5227C">
        <w:tc>
          <w:tcPr>
            <w:tcW w:w="9520" w:type="dxa"/>
          </w:tcPr>
          <w:p w14:paraId="0B672AA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1. Istota i rodzaje planowania - czynniki i mechanizmy rozwoju jednostek terytorialnych.</w:t>
            </w:r>
          </w:p>
        </w:tc>
      </w:tr>
      <w:tr w:rsidR="002B2B61" w:rsidRPr="009C54AE" w14:paraId="70677B38" w14:textId="77777777" w:rsidTr="00A5227C">
        <w:tc>
          <w:tcPr>
            <w:tcW w:w="9520" w:type="dxa"/>
          </w:tcPr>
          <w:p w14:paraId="2A531FC3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 xml:space="preserve">2. Strategia jako narzędzie rozwoju lokalnego.  </w:t>
            </w:r>
          </w:p>
          <w:p w14:paraId="51F6495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Rola samorządu w kreowaniu rozwoju, ramy formalno-prawne planowania</w:t>
            </w:r>
          </w:p>
        </w:tc>
      </w:tr>
      <w:tr w:rsidR="002B2B61" w:rsidRPr="009C54AE" w14:paraId="0927268C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088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3. Dokumenty rządowe Unii Europejskiej. Ogólne kierunki i priorytety rozwoju</w:t>
            </w:r>
          </w:p>
        </w:tc>
      </w:tr>
      <w:tr w:rsidR="002B2B61" w:rsidRPr="009C54AE" w14:paraId="65AFEF87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3D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4. Zasady pracy z dużymi zespołami ludzkimi – wykorzystanie metody moderacji wizualnej</w:t>
            </w:r>
          </w:p>
        </w:tc>
      </w:tr>
      <w:tr w:rsidR="002B2B61" w:rsidRPr="009C54AE" w14:paraId="79DF5A36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ECC1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5. Istota, przedmiot, podmiot i podstawowe elementy</w:t>
            </w:r>
          </w:p>
          <w:p w14:paraId="6B7B725D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strategii, główne zasady pracy oraz procedura planowania i realizacji strategii</w:t>
            </w:r>
          </w:p>
        </w:tc>
      </w:tr>
      <w:tr w:rsidR="002B2B61" w:rsidRPr="009C54AE" w14:paraId="571DB827" w14:textId="77777777" w:rsidTr="00A5227C">
        <w:tc>
          <w:tcPr>
            <w:tcW w:w="9520" w:type="dxa"/>
          </w:tcPr>
          <w:p w14:paraId="0894B05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6. Formułowanie treści strategii rozwoju:</w:t>
            </w:r>
          </w:p>
          <w:p w14:paraId="4B3DFB02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· diagnoza prospektywna,</w:t>
            </w:r>
          </w:p>
          <w:p w14:paraId="23D349CE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podstawowych problemów rozwoju,</w:t>
            </w:r>
          </w:p>
          <w:p w14:paraId="7BC321A6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czynników rozwojowych,</w:t>
            </w:r>
          </w:p>
          <w:p w14:paraId="07EED7E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tworzenie wizji,</w:t>
            </w:r>
          </w:p>
          <w:p w14:paraId="70DCFF98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misji,</w:t>
            </w:r>
          </w:p>
          <w:p w14:paraId="69466C2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formułowanie celów strategicznych i strategii</w:t>
            </w:r>
          </w:p>
          <w:p w14:paraId="4DAFA01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działania,</w:t>
            </w:r>
          </w:p>
          <w:p w14:paraId="659D1AE5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· określenie zadań, programów, projektów, polityk szczegółowych</w:t>
            </w:r>
          </w:p>
        </w:tc>
      </w:tr>
      <w:tr w:rsidR="002B2B61" w:rsidRPr="009C54AE" w14:paraId="598D7C93" w14:textId="77777777" w:rsidTr="00A5227C">
        <w:tc>
          <w:tcPr>
            <w:tcW w:w="9520" w:type="dxa"/>
          </w:tcPr>
          <w:p w14:paraId="2A2E9EC4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lastRenderedPageBreak/>
              <w:t>7. Wdrażanie strategii rozwoju (podstawowe narzędzia wdrażania strategii, koordynacja współpracy, monitorowanie wdrażania strategii)</w:t>
            </w:r>
          </w:p>
        </w:tc>
      </w:tr>
      <w:tr w:rsidR="002B2B61" w:rsidRPr="009C54AE" w14:paraId="6E2045CE" w14:textId="77777777" w:rsidTr="00A5227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F629" w14:textId="77777777" w:rsidR="002B2B61" w:rsidRPr="00086B0F" w:rsidRDefault="002B2B61" w:rsidP="002F30F0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086B0F">
              <w:rPr>
                <w:rFonts w:ascii="Corbel" w:hAnsi="Corbel"/>
                <w:b w:val="0"/>
              </w:rPr>
              <w:t>8. Prezentacja wybranych strategii rozwoju regionalnego</w:t>
            </w:r>
          </w:p>
        </w:tc>
      </w:tr>
    </w:tbl>
    <w:p w14:paraId="6722D1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D95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FE0D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E3945" w14:textId="77777777" w:rsidR="00227500" w:rsidRPr="00086B0F" w:rsidRDefault="00227500" w:rsidP="002275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86B0F">
        <w:rPr>
          <w:rFonts w:ascii="Corbel" w:hAnsi="Corbel"/>
          <w:b w:val="0"/>
          <w:bCs/>
          <w:smallCaps w:val="0"/>
          <w:szCs w:val="24"/>
        </w:rPr>
        <w:t>Ćwiczenia obejmują dyskusję, moderację wizualną, analizę studium przypadku, przygotowywanie referatów, pracę zespołową (warsztaty)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4EF7E5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327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791A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F508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54D3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73B1C40C" w14:textId="77777777" w:rsidTr="00C05F44">
        <w:tc>
          <w:tcPr>
            <w:tcW w:w="1985" w:type="dxa"/>
            <w:vAlign w:val="center"/>
          </w:tcPr>
          <w:p w14:paraId="582F641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99AAC" w14:textId="3160567A" w:rsidR="0085747A" w:rsidRPr="002F30F0" w:rsidRDefault="00F974D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0FF187" w14:textId="4651F8FA" w:rsidR="0085747A" w:rsidRPr="009C54AE" w:rsidRDefault="0085747A" w:rsidP="002F30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7500" w:rsidRPr="009C54AE" w14:paraId="29CDC0B6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05BAF1E1" w14:textId="3A670E7F" w:rsidR="00227500" w:rsidRPr="009C54AE" w:rsidRDefault="00214FBA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27500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vAlign w:val="center"/>
          </w:tcPr>
          <w:p w14:paraId="6FDDFF68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  <w:vAlign w:val="center"/>
          </w:tcPr>
          <w:p w14:paraId="329C1B3D" w14:textId="76FACB5C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FC9B32E" w14:textId="77777777" w:rsidTr="00C24BF8">
        <w:trPr>
          <w:trHeight w:val="340"/>
        </w:trPr>
        <w:tc>
          <w:tcPr>
            <w:tcW w:w="1985" w:type="dxa"/>
            <w:vAlign w:val="center"/>
          </w:tcPr>
          <w:p w14:paraId="5566DFE1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66A7ABCE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kolokwium, studium przypadku</w:t>
            </w:r>
          </w:p>
        </w:tc>
        <w:tc>
          <w:tcPr>
            <w:tcW w:w="2126" w:type="dxa"/>
            <w:vAlign w:val="center"/>
          </w:tcPr>
          <w:p w14:paraId="4976DB59" w14:textId="66C06AA5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637A4E5C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E15A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F411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6C2" w14:textId="5E7C79DE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7500" w:rsidRPr="009C54AE" w14:paraId="7B9EFFC0" w14:textId="77777777" w:rsidTr="00C24BF8">
        <w:trPr>
          <w:trHeight w:val="3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101D" w14:textId="77777777" w:rsidR="00227500" w:rsidRPr="009C54AE" w:rsidRDefault="00227500" w:rsidP="00C24B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992" w14:textId="77777777" w:rsidR="00227500" w:rsidRPr="00097DED" w:rsidRDefault="00227500" w:rsidP="00C24BF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97DED">
              <w:rPr>
                <w:rFonts w:ascii="Corbel" w:hAnsi="Corbel"/>
                <w:sz w:val="24"/>
                <w:szCs w:val="24"/>
              </w:rPr>
              <w:t>warsztaty w formie moderacji wizualnej</w:t>
            </w:r>
            <w:r>
              <w:rPr>
                <w:rFonts w:ascii="Corbel" w:hAnsi="Corbel"/>
                <w:sz w:val="24"/>
                <w:szCs w:val="24"/>
              </w:rPr>
              <w:t>, prezentacja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E223" w14:textId="323313C0" w:rsidR="00227500" w:rsidRPr="009C54AE" w:rsidRDefault="00C24BF8" w:rsidP="00214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DC65AF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9BA2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B5BEE6" w14:textId="77777777" w:rsidR="00923D7D" w:rsidRPr="009C54AE" w:rsidRDefault="00923D7D" w:rsidP="00C24BF8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CD7E6" w14:textId="77777777" w:rsidTr="00923D7D">
        <w:tc>
          <w:tcPr>
            <w:tcW w:w="9670" w:type="dxa"/>
          </w:tcPr>
          <w:p w14:paraId="75695272" w14:textId="1EA403F7" w:rsidR="00451640" w:rsidRPr="009C54AE" w:rsidRDefault="00227500" w:rsidP="00C24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ocena pozytywna projektu i testu zaliczeniowego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A436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52B3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26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01EEC5" w14:textId="77777777" w:rsidTr="003E1941">
        <w:tc>
          <w:tcPr>
            <w:tcW w:w="4962" w:type="dxa"/>
            <w:vAlign w:val="center"/>
          </w:tcPr>
          <w:p w14:paraId="4D58C9A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3E16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8826EE" w14:textId="77777777" w:rsidTr="00923D7D">
        <w:tc>
          <w:tcPr>
            <w:tcW w:w="4962" w:type="dxa"/>
          </w:tcPr>
          <w:p w14:paraId="7C31B4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E419F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D598CB6" w14:textId="77777777" w:rsidTr="00923D7D">
        <w:tc>
          <w:tcPr>
            <w:tcW w:w="4962" w:type="dxa"/>
          </w:tcPr>
          <w:p w14:paraId="484A85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3ED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2D9FD5" w14:textId="77777777" w:rsidR="00C61DC5" w:rsidRPr="009C54AE" w:rsidRDefault="008B73CC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ED868E" w14:textId="77777777" w:rsidTr="00923D7D">
        <w:tc>
          <w:tcPr>
            <w:tcW w:w="4962" w:type="dxa"/>
          </w:tcPr>
          <w:p w14:paraId="4F78164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FAAA48" w14:textId="77777777" w:rsidR="00C61DC5" w:rsidRPr="009C54AE" w:rsidRDefault="00C61DC5" w:rsidP="002275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6370DC" w14:textId="77777777" w:rsidR="00C61DC5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48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EFE2963" w14:textId="77777777" w:rsidTr="00923D7D">
        <w:tc>
          <w:tcPr>
            <w:tcW w:w="4962" w:type="dxa"/>
          </w:tcPr>
          <w:p w14:paraId="4F4FDF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33DEF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F22E2D" w14:textId="77777777" w:rsidTr="00923D7D">
        <w:tc>
          <w:tcPr>
            <w:tcW w:w="4962" w:type="dxa"/>
          </w:tcPr>
          <w:p w14:paraId="07868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FA3048B" w14:textId="77777777" w:rsidR="0085747A" w:rsidRPr="009C54AE" w:rsidRDefault="00227500" w:rsidP="002F30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E23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EA5B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697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D7DD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2124250" w14:textId="77777777" w:rsidTr="00C24BF8">
        <w:trPr>
          <w:trHeight w:val="397"/>
        </w:trPr>
        <w:tc>
          <w:tcPr>
            <w:tcW w:w="4082" w:type="dxa"/>
          </w:tcPr>
          <w:p w14:paraId="094E31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7DADB0D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84BF114" w14:textId="77777777" w:rsidTr="00C24BF8">
        <w:trPr>
          <w:trHeight w:val="397"/>
        </w:trPr>
        <w:tc>
          <w:tcPr>
            <w:tcW w:w="4082" w:type="dxa"/>
          </w:tcPr>
          <w:p w14:paraId="5186C0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9965BC9" w14:textId="77777777" w:rsidR="0085747A" w:rsidRPr="009C54AE" w:rsidRDefault="008B73CC" w:rsidP="00C24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7B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DA65D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582055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EAAA52C" w14:textId="77777777" w:rsidTr="00C24BF8">
        <w:trPr>
          <w:trHeight w:val="397"/>
        </w:trPr>
        <w:tc>
          <w:tcPr>
            <w:tcW w:w="9497" w:type="dxa"/>
          </w:tcPr>
          <w:p w14:paraId="78135D0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9E3CD7A" w14:textId="7807A8F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Koziński J., Wysocka E.,1998 i nast., Strategia rozwoju województw i gmin, teoria i praktyka, Zachodnie Centrum Organizacji, Warszawa – Zielona Góra.</w:t>
            </w:r>
          </w:p>
          <w:p w14:paraId="534E7A31" w14:textId="063A0DC2" w:rsidR="00227500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Kudłacz T., Programowanie rozwoju regionalnego, PWN Warszawa 1999 i nast.</w:t>
            </w:r>
          </w:p>
          <w:p w14:paraId="04B27E79" w14:textId="1CE35E2C" w:rsidR="00E73AAB" w:rsidRPr="005F593A" w:rsidRDefault="00227500" w:rsidP="005F59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Nowe zarządzanie publiczne w polskim samorządzie terytorialnym, pod red. A. Zalewskiego, SGH, Warszawa 2005</w:t>
            </w:r>
            <w:r w:rsidR="00E73AAB" w:rsidRPr="005F593A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9343B49" w14:textId="77777777" w:rsidTr="00C24BF8">
        <w:trPr>
          <w:trHeight w:val="397"/>
        </w:trPr>
        <w:tc>
          <w:tcPr>
            <w:tcW w:w="9497" w:type="dxa"/>
          </w:tcPr>
          <w:p w14:paraId="038F7230" w14:textId="77777777" w:rsidR="00695D28" w:rsidRPr="00227500" w:rsidRDefault="00695D28" w:rsidP="00C24BF8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2750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11C4FD0" w14:textId="2F7C9776" w:rsidR="00227500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Dziurbejko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 xml:space="preserve"> T. Planowanie rozwoju gminy jako instrument pozyskiwania funduszy pomocowych Unii Europejskiej, </w:t>
            </w:r>
            <w:proofErr w:type="spellStart"/>
            <w:r w:rsidRPr="005F59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F593A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262EB721" w14:textId="1C029BC1" w:rsidR="008B73CC" w:rsidRPr="005F593A" w:rsidRDefault="00227500" w:rsidP="005F59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5F593A">
              <w:rPr>
                <w:rFonts w:ascii="Corbel" w:hAnsi="Corbel"/>
                <w:sz w:val="24"/>
                <w:szCs w:val="24"/>
              </w:rPr>
              <w:t>Ślusarz G., Studium społeczno-ekonomicznych uwarunkowań rozwoju obszarów wiejskich w świetle zagrożenia marginalizacją, Wydawnictwo Uniwersytetu Rzeszowskiego, Rzeszów 2005</w:t>
            </w:r>
            <w:r w:rsidR="00695D28" w:rsidRPr="005F5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3D358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FAF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5BFE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D826D" w14:textId="77777777" w:rsidR="006B725F" w:rsidRDefault="006B725F" w:rsidP="00C16ABF">
      <w:pPr>
        <w:spacing w:after="0" w:line="240" w:lineRule="auto"/>
      </w:pPr>
      <w:r>
        <w:separator/>
      </w:r>
    </w:p>
  </w:endnote>
  <w:endnote w:type="continuationSeparator" w:id="0">
    <w:p w14:paraId="233FBC25" w14:textId="77777777" w:rsidR="006B725F" w:rsidRDefault="006B72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E67E8" w14:textId="77777777" w:rsidR="006B725F" w:rsidRDefault="006B725F" w:rsidP="00C16ABF">
      <w:pPr>
        <w:spacing w:after="0" w:line="240" w:lineRule="auto"/>
      </w:pPr>
      <w:r>
        <w:separator/>
      </w:r>
    </w:p>
  </w:footnote>
  <w:footnote w:type="continuationSeparator" w:id="0">
    <w:p w14:paraId="195CFB29" w14:textId="77777777" w:rsidR="006B725F" w:rsidRDefault="006B725F" w:rsidP="00C16ABF">
      <w:pPr>
        <w:spacing w:after="0" w:line="240" w:lineRule="auto"/>
      </w:pPr>
      <w:r>
        <w:continuationSeparator/>
      </w:r>
    </w:p>
  </w:footnote>
  <w:footnote w:id="1">
    <w:p w14:paraId="1C9BCA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9F7C01"/>
    <w:multiLevelType w:val="hybridMultilevel"/>
    <w:tmpl w:val="FBEAD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7F8"/>
    <w:multiLevelType w:val="hybridMultilevel"/>
    <w:tmpl w:val="1A7A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9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5D2A"/>
    <w:rsid w:val="001A70D2"/>
    <w:rsid w:val="001C5C65"/>
    <w:rsid w:val="001D657B"/>
    <w:rsid w:val="001D7B54"/>
    <w:rsid w:val="001E0209"/>
    <w:rsid w:val="001F2CA2"/>
    <w:rsid w:val="002144C0"/>
    <w:rsid w:val="00214FBA"/>
    <w:rsid w:val="00215FA7"/>
    <w:rsid w:val="0022477D"/>
    <w:rsid w:val="00227500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2B61"/>
    <w:rsid w:val="002B4D55"/>
    <w:rsid w:val="002B5EA0"/>
    <w:rsid w:val="002B6119"/>
    <w:rsid w:val="002C1F06"/>
    <w:rsid w:val="002D3375"/>
    <w:rsid w:val="002D73D4"/>
    <w:rsid w:val="002E429F"/>
    <w:rsid w:val="002F02A3"/>
    <w:rsid w:val="002F30F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68CC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67E6E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3A"/>
    <w:rsid w:val="005F69C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B725F"/>
    <w:rsid w:val="006D050F"/>
    <w:rsid w:val="006D6139"/>
    <w:rsid w:val="006E5D65"/>
    <w:rsid w:val="006F1282"/>
    <w:rsid w:val="006F1FBC"/>
    <w:rsid w:val="006F31E2"/>
    <w:rsid w:val="00706544"/>
    <w:rsid w:val="007072BA"/>
    <w:rsid w:val="007078B1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354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4F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CD1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17F3"/>
    <w:rsid w:val="00B75946"/>
    <w:rsid w:val="00B8056E"/>
    <w:rsid w:val="00B819C8"/>
    <w:rsid w:val="00B82308"/>
    <w:rsid w:val="00B90885"/>
    <w:rsid w:val="00BB023D"/>
    <w:rsid w:val="00BB520A"/>
    <w:rsid w:val="00BC797F"/>
    <w:rsid w:val="00BD10B3"/>
    <w:rsid w:val="00BD3869"/>
    <w:rsid w:val="00BD66E9"/>
    <w:rsid w:val="00BD6FF4"/>
    <w:rsid w:val="00BF2C41"/>
    <w:rsid w:val="00BF6D9C"/>
    <w:rsid w:val="00C058B4"/>
    <w:rsid w:val="00C05F44"/>
    <w:rsid w:val="00C06B33"/>
    <w:rsid w:val="00C131B5"/>
    <w:rsid w:val="00C16ABF"/>
    <w:rsid w:val="00C170AE"/>
    <w:rsid w:val="00C24BF8"/>
    <w:rsid w:val="00C26CB7"/>
    <w:rsid w:val="00C324C1"/>
    <w:rsid w:val="00C36992"/>
    <w:rsid w:val="00C56036"/>
    <w:rsid w:val="00C61DC5"/>
    <w:rsid w:val="00C67E92"/>
    <w:rsid w:val="00C704F6"/>
    <w:rsid w:val="00C70A26"/>
    <w:rsid w:val="00C753C8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18B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203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C21C"/>
  <w15:docId w15:val="{AE2C6CEF-3D2B-4616-BA2F-7AF58628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38C32-3B4B-4C64-BF71-A68AD966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4F2A2-A125-478B-AE26-1EE8904BA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CC21B1-D29C-46BD-943C-FA09D5AB66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149D4-F34A-41B4-9809-C68337696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2020-11-18T06:58:00Z</dcterms:created>
  <dcterms:modified xsi:type="dcterms:W3CDTF">2021-09-06T06:29:00Z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